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Title"/>
      </w:pPr>
      <w:r>
        <w:rPr>
          <w:rFonts w:ascii="Inter" w:hAnsi="Inter" w:cs="Inter"/>
          <w:sz w:val="44"/>
        </w:rPr>
        <w:t>Suovo — pierwsze użycie (tutorial)</w:t>
      </w:r>
    </w:p>
    <w:p>
      <w:r>
        <w:rPr>
          <w:rFonts w:ascii="Inter" w:hAnsi="Inter" w:cs="Inter"/>
          <w:sz w:val="22"/>
        </w:rPr>
        <w:t>Materiał pomocniczy do onboardingu i pierwszej obsługi wiadomości.</w:t>
      </w:r>
    </w:p>
    <w:p>
      <w:r>
        <w:rPr>
          <w:rFonts w:ascii="Inter" w:hAnsi="Inter" w:cs="Inter"/>
        </w:rPr>
        <w:t>Filmy / materiały wideo:</w:t>
      </w:r>
    </w:p>
    <w:p>
      <w:pPr>
        <w:pStyle w:val="ListBullet"/>
      </w:pPr>
      <w:r>
        <w:rPr>
          <w:rFonts w:ascii="Inter" w:hAnsi="Inter" w:cs="Inter"/>
        </w:rPr>
        <w:t>https://youtu.be/TUUY2mmLjv0</w:t>
      </w:r>
    </w:p>
    <w:p/>
    <w:p>
      <w:pPr>
        <w:pStyle w:val="Heading1"/>
      </w:pPr>
      <w:r>
        <w:rPr>
          <w:rFonts w:ascii="Inter" w:hAnsi="Inter" w:cs="Inter"/>
        </w:rPr>
        <w:t>Wprowadzenie</w:t>
      </w:r>
    </w:p>
    <w:p>
      <w:r>
        <w:rPr>
          <w:rFonts w:ascii="Inter" w:hAnsi="Inter" w:cs="Inter"/>
        </w:rPr>
        <w:t>Ten dokument zawiera skrót treść materiału wideo na temat pierwszego uruchomienia i użycia aplikacji Suovo.</w:t>
      </w:r>
    </w:p>
    <w:p>
      <w:r>
        <w:rPr>
          <w:rFonts w:ascii="Inter" w:hAnsi="Inter" w:cs="Inter"/>
        </w:rPr>
        <w:t>Film omawia onboarding oraz pierwszą obsługę wiadomości od klientów po podłączeniu Gmail i Allegro.</w:t>
      </w:r>
    </w:p>
    <w:p>
      <w:r>
        <w:rPr>
          <w:rFonts w:ascii="Inter" w:hAnsi="Inter" w:cs="Inter"/>
        </w:rPr>
        <w:t>Nagranie wideo: https://youtu.be/TUUY2mmLjv0</w:t>
      </w:r>
    </w:p>
    <w:p>
      <w:r>
        <w:rPr>
          <w:rFonts w:ascii="Inter" w:hAnsi="Inter" w:cs="Inter"/>
        </w:rPr>
        <w:br w:type="page"/>
      </w:r>
    </w:p>
    <w:p>
      <w:pPr>
        <w:pStyle w:val="Heading1"/>
      </w:pPr>
      <w:r>
        <w:rPr>
          <w:rFonts w:ascii="Inter" w:hAnsi="Inter" w:cs="Inter"/>
        </w:rPr>
        <w:t>Regulamin i polityka prywatności</w:t>
      </w:r>
    </w:p>
    <w:p>
      <w:r>
        <w:rPr>
          <w:rFonts w:ascii="Inter" w:hAnsi="Inter" w:cs="Inter"/>
        </w:rPr>
        <w:t>Pierwszy ekran po instalacji pozwala zapoznać się z regulaminem oraz polityką prywatności.</w:t>
      </w:r>
    </w:p>
    <w:p>
      <w:r>
        <w:rPr>
          <w:rFonts w:ascii="Inter" w:hAnsi="Inter" w:cs="Inter"/>
        </w:rPr>
        <w:t>Akceptacja obu dokumentów jest wymagana, aby kontynuować — zaznacz akceptację i wybierz „Akceptuj i kontynuuj”.</w:t>
      </w:r>
    </w:p>
    <w:p>
      <w:r>
        <w:rPr>
          <w:rFonts w:ascii="Inter" w:hAnsi="Inter" w:cs="Inter"/>
        </w:rPr>
        <w:drawing>
          <wp:inline xmlns:a="http://schemas.openxmlformats.org/drawingml/2006/main" xmlns:pic="http://schemas.openxmlformats.org/drawingml/2006/picture">
            <wp:extent cx="5580000" cy="313875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tep_0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80000" cy="313875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rPr>
          <w:rFonts w:ascii="Inter" w:hAnsi="Inter" w:cs="Inter"/>
        </w:rPr>
        <w:drawing>
          <wp:inline xmlns:a="http://schemas.openxmlformats.org/drawingml/2006/main" xmlns:pic="http://schemas.openxmlformats.org/drawingml/2006/picture">
            <wp:extent cx="5580000" cy="313875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tep_02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80000" cy="313875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rPr>
          <w:rFonts w:ascii="Inter" w:hAnsi="Inter" w:cs="Inter"/>
        </w:rPr>
        <w:drawing>
          <wp:inline xmlns:a="http://schemas.openxmlformats.org/drawingml/2006/main" xmlns:pic="http://schemas.openxmlformats.org/drawingml/2006/picture">
            <wp:extent cx="5580000" cy="313875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tep_03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80000" cy="313875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rPr>
          <w:rFonts w:ascii="Inter" w:hAnsi="Inter" w:cs="Inter"/>
        </w:rPr>
        <w:drawing>
          <wp:inline xmlns:a="http://schemas.openxmlformats.org/drawingml/2006/main" xmlns:pic="http://schemas.openxmlformats.org/drawingml/2006/picture">
            <wp:extent cx="5580000" cy="313875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tep_04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80000" cy="313875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rPr>
          <w:rFonts w:ascii="Inter" w:hAnsi="Inter" w:cs="Inter"/>
        </w:rPr>
        <w:br w:type="page"/>
      </w:r>
    </w:p>
    <w:p>
      <w:pPr>
        <w:pStyle w:val="Heading1"/>
      </w:pPr>
      <w:r>
        <w:rPr>
          <w:rFonts w:ascii="Inter" w:hAnsi="Inter" w:cs="Inter"/>
        </w:rPr>
        <w:t>Czym jest Suovo? Rozpoczęcie onboardingu</w:t>
      </w:r>
    </w:p>
    <w:p>
      <w:r>
        <w:rPr>
          <w:rFonts w:ascii="Inter" w:hAnsi="Inter" w:cs="Inter"/>
        </w:rPr>
        <w:t>Onboarding wprowadza w aplikację. Suovo to asystent AI wspierający obsługę klienta na podstawie instrukcji, procedur i wcześniejszych konwersacji.</w:t>
      </w:r>
    </w:p>
    <w:p>
      <w:r>
        <w:rPr>
          <w:rFonts w:ascii="Inter" w:hAnsi="Inter" w:cs="Inter"/>
        </w:rPr>
        <w:t>Może działać lokalnie na Twoim komputerze albo w chmurze — zależnie od konfiguracji.</w:t>
      </w:r>
    </w:p>
    <w:p>
      <w:r>
        <w:rPr>
          <w:rFonts w:ascii="Inter" w:hAnsi="Inter" w:cs="Inter"/>
        </w:rPr>
        <w:t>Interfejs jest dostępny po polsku i po angielsku; domyślnie wybrany jest język polski. Kliknij „Rozpocznij”, aby przejść dalej.</w:t>
      </w:r>
    </w:p>
    <w:p>
      <w:r>
        <w:rPr>
          <w:rFonts w:ascii="Inter" w:hAnsi="Inter" w:cs="Inter"/>
        </w:rPr>
        <w:drawing>
          <wp:inline xmlns:a="http://schemas.openxmlformats.org/drawingml/2006/main" xmlns:pic="http://schemas.openxmlformats.org/drawingml/2006/picture">
            <wp:extent cx="5580000" cy="313875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tep_05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80000" cy="313875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rPr>
          <w:rFonts w:ascii="Inter" w:hAnsi="Inter" w:cs="Inter"/>
        </w:rPr>
        <w:br w:type="page"/>
      </w:r>
    </w:p>
    <w:p>
      <w:pPr>
        <w:pStyle w:val="Heading1"/>
      </w:pPr>
      <w:r>
        <w:rPr>
          <w:rFonts w:ascii="Inter" w:hAnsi="Inter" w:cs="Inter"/>
        </w:rPr>
        <w:t>Analityka użytkowania</w:t>
      </w:r>
    </w:p>
    <w:p>
      <w:r>
        <w:rPr>
          <w:rFonts w:ascii="Inter" w:hAnsi="Inter" w:cs="Inter"/>
        </w:rPr>
        <w:t>Możesz wyrazić zgodę na anonimowe statystyki — pomagają one ulepszać produkt. Zgoda jest dobrowolna i można ją później zmienić w ustawieniach.</w:t>
      </w:r>
    </w:p>
    <w:p>
      <w:r>
        <w:rPr>
          <w:rFonts w:ascii="Inter" w:hAnsi="Inter" w:cs="Inter"/>
        </w:rPr>
        <w:drawing>
          <wp:inline xmlns:a="http://schemas.openxmlformats.org/drawingml/2006/main" xmlns:pic="http://schemas.openxmlformats.org/drawingml/2006/picture">
            <wp:extent cx="5580000" cy="3138750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tep_06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80000" cy="313875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rPr>
          <w:rFonts w:ascii="Inter" w:hAnsi="Inter" w:cs="Inter"/>
        </w:rPr>
        <w:br w:type="page"/>
      </w:r>
    </w:p>
    <w:p>
      <w:pPr>
        <w:pStyle w:val="Heading1"/>
      </w:pPr>
      <w:r>
        <w:rPr>
          <w:rFonts w:ascii="Inter" w:hAnsi="Inter" w:cs="Inter"/>
        </w:rPr>
        <w:t>Wzorce automatycznych odpowiedzi</w:t>
      </w:r>
    </w:p>
    <w:p>
      <w:r>
        <w:rPr>
          <w:rFonts w:ascii="Inter" w:hAnsi="Inter" w:cs="Inter"/>
        </w:rPr>
        <w:t>Ten ekran pozwala ustawić reguły dla wiadomości, na które nie chcesz odpowiadać — np. automatyczne odpowiedzi autorespondera (np. informacja o urlopie).</w:t>
      </w:r>
    </w:p>
    <w:p>
      <w:r>
        <w:rPr>
          <w:rFonts w:ascii="Inter" w:hAnsi="Inter" w:cs="Inter"/>
        </w:rPr>
        <w:t>Jeśli nie jesteś pewien wyboru, zostaw konfigurację domyślną — do tego ekranu możesz wrócić później.</w:t>
      </w:r>
    </w:p>
    <w:p>
      <w:r>
        <w:rPr>
          <w:rFonts w:ascii="Inter" w:hAnsi="Inter" w:cs="Inter"/>
        </w:rPr>
        <w:drawing>
          <wp:inline xmlns:a="http://schemas.openxmlformats.org/drawingml/2006/main" xmlns:pic="http://schemas.openxmlformats.org/drawingml/2006/picture">
            <wp:extent cx="5580000" cy="3138750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tep_07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80000" cy="313875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rPr>
          <w:rFonts w:ascii="Inter" w:hAnsi="Inter" w:cs="Inter"/>
        </w:rPr>
        <w:br w:type="page"/>
      </w:r>
    </w:p>
    <w:p>
      <w:pPr>
        <w:pStyle w:val="Heading1"/>
      </w:pPr>
      <w:r>
        <w:rPr>
          <w:rFonts w:ascii="Inter" w:hAnsi="Inter" w:cs="Inter"/>
        </w:rPr>
        <w:t>Połączenie z Gmail</w:t>
      </w:r>
    </w:p>
    <w:p>
      <w:r>
        <w:rPr>
          <w:rFonts w:ascii="Inter" w:hAnsi="Inter" w:cs="Inter"/>
        </w:rPr>
        <w:t>Sposobów połączenia z Gmail jest kilka — szczegóły są w osobnych materiałach. Przy wątpliwościach warto napisać do zespołu Suovo.</w:t>
      </w:r>
    </w:p>
    <w:p>
      <w:r>
        <w:rPr>
          <w:rFonts w:ascii="Inter" w:hAnsi="Inter" w:cs="Inter"/>
        </w:rPr>
        <w:t>Po kliknięciu „Połącz konto Gmail” otwiera się przeglądarka: wybierasz konto i nadajesz uprawnienia. Po sukcesie przechodzisz do kolejnego kroku.</w:t>
      </w:r>
    </w:p>
    <w:p>
      <w:r>
        <w:rPr>
          <w:rFonts w:ascii="Inter" w:hAnsi="Inter" w:cs="Inter"/>
        </w:rPr>
        <w:drawing>
          <wp:inline xmlns:a="http://schemas.openxmlformats.org/drawingml/2006/main" xmlns:pic="http://schemas.openxmlformats.org/drawingml/2006/picture">
            <wp:extent cx="5580000" cy="3138750"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tep_08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80000" cy="313875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rPr>
          <w:rFonts w:ascii="Inter" w:hAnsi="Inter" w:cs="Inter"/>
        </w:rPr>
        <w:drawing>
          <wp:inline xmlns:a="http://schemas.openxmlformats.org/drawingml/2006/main" xmlns:pic="http://schemas.openxmlformats.org/drawingml/2006/picture">
            <wp:extent cx="5580000" cy="3138750"/>
            <wp:docPr id="9" name="Picture 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tep_09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80000" cy="313875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rPr>
          <w:rFonts w:ascii="Inter" w:hAnsi="Inter" w:cs="Inter"/>
        </w:rPr>
        <w:br w:type="page"/>
      </w:r>
    </w:p>
    <w:p>
      <w:pPr>
        <w:pStyle w:val="Heading1"/>
      </w:pPr>
      <w:r>
        <w:rPr>
          <w:rFonts w:ascii="Inter" w:hAnsi="Inter" w:cs="Inter"/>
        </w:rPr>
        <w:t>Połączenie z Allegro</w:t>
      </w:r>
    </w:p>
    <w:p>
      <w:r>
        <w:rPr>
          <w:rFonts w:ascii="Inter" w:hAnsi="Inter" w:cs="Inter"/>
        </w:rPr>
        <w:t>Analogicznie kliknij „Połącz konto Allegro”, zaloguj się w oknie przeglądarki — po powodzeniu przejdź dalej.</w:t>
      </w:r>
    </w:p>
    <w:p>
      <w:r>
        <w:rPr>
          <w:rFonts w:ascii="Inter" w:hAnsi="Inter" w:cs="Inter"/>
        </w:rPr>
        <w:drawing>
          <wp:inline xmlns:a="http://schemas.openxmlformats.org/drawingml/2006/main" xmlns:pic="http://schemas.openxmlformats.org/drawingml/2006/picture">
            <wp:extent cx="5580000" cy="3138750"/>
            <wp:docPr id="10" name="Picture 1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tep_10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80000" cy="313875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rPr>
          <w:rFonts w:ascii="Inter" w:hAnsi="Inter" w:cs="Inter"/>
        </w:rPr>
        <w:drawing>
          <wp:inline xmlns:a="http://schemas.openxmlformats.org/drawingml/2006/main" xmlns:pic="http://schemas.openxmlformats.org/drawingml/2006/picture">
            <wp:extent cx="5580000" cy="3138750"/>
            <wp:docPr id="11" name="Picture 1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tep_11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80000" cy="313875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rPr>
          <w:rFonts w:ascii="Inter" w:hAnsi="Inter" w:cs="Inter"/>
        </w:rPr>
        <w:br w:type="page"/>
      </w:r>
    </w:p>
    <w:p>
      <w:pPr>
        <w:pStyle w:val="Heading1"/>
      </w:pPr>
      <w:r>
        <w:rPr>
          <w:rFonts w:ascii="Inter" w:hAnsi="Inter" w:cs="Inter"/>
        </w:rPr>
        <w:t>Dane podstawowe sklepu</w:t>
      </w:r>
    </w:p>
    <w:p>
      <w:r>
        <w:rPr>
          <w:rFonts w:ascii="Inter" w:hAnsi="Inter" w:cs="Inter"/>
        </w:rPr>
        <w:t>Możesz zaczytać i edytować podstawowe dane wykorzystywane przy generowaniu odpowiedzi. Wartości są wstępnie pobierane z Allegro — po edycji kliknij „Dalej”.</w:t>
      </w:r>
    </w:p>
    <w:p>
      <w:r>
        <w:rPr>
          <w:rFonts w:ascii="Inter" w:hAnsi="Inter" w:cs="Inter"/>
        </w:rPr>
        <w:drawing>
          <wp:inline xmlns:a="http://schemas.openxmlformats.org/drawingml/2006/main" xmlns:pic="http://schemas.openxmlformats.org/drawingml/2006/picture">
            <wp:extent cx="5580000" cy="3138750"/>
            <wp:docPr id="12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tep_12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80000" cy="313875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rPr>
          <w:rFonts w:ascii="Inter" w:hAnsi="Inter" w:cs="Inter"/>
        </w:rPr>
        <w:br w:type="page"/>
      </w:r>
    </w:p>
    <w:p>
      <w:pPr>
        <w:pStyle w:val="Heading1"/>
      </w:pPr>
      <w:r>
        <w:rPr>
          <w:rFonts w:ascii="Inter" w:hAnsi="Inter" w:cs="Inter"/>
        </w:rPr>
        <w:t>Silnik i model AI</w:t>
      </w:r>
    </w:p>
    <w:p>
      <w:r>
        <w:rPr>
          <w:rFonts w:ascii="Inter" w:hAnsi="Inter" w:cs="Inter"/>
        </w:rPr>
        <w:t>LM Studio umożliwia modele działające w 100% lokalnie na komputerze; Open Router — modele w chmurze.</w:t>
      </w:r>
    </w:p>
    <w:p>
      <w:r>
        <w:rPr>
          <w:rFonts w:ascii="Inter" w:hAnsi="Inter" w:cs="Inter"/>
        </w:rPr>
        <w:t>Wybór możesz później zmienić w ustawieniach. Po wybraniu modelu i jego załadowaniu przejdź dalej.</w:t>
      </w:r>
    </w:p>
    <w:p>
      <w:r>
        <w:rPr>
          <w:rFonts w:ascii="Inter" w:hAnsi="Inter" w:cs="Inter"/>
        </w:rPr>
        <w:drawing>
          <wp:inline xmlns:a="http://schemas.openxmlformats.org/drawingml/2006/main" xmlns:pic="http://schemas.openxmlformats.org/drawingml/2006/picture">
            <wp:extent cx="5580000" cy="3138750"/>
            <wp:docPr id="13" name="Picture 1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tep_13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80000" cy="313875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rPr>
          <w:rFonts w:ascii="Inter" w:hAnsi="Inter" w:cs="Inter"/>
        </w:rPr>
        <w:drawing>
          <wp:inline xmlns:a="http://schemas.openxmlformats.org/drawingml/2006/main" xmlns:pic="http://schemas.openxmlformats.org/drawingml/2006/picture">
            <wp:extent cx="5580000" cy="3138750"/>
            <wp:docPr id="14" name="Picture 1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tep_14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80000" cy="313875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rPr>
          <w:rFonts w:ascii="Inter" w:hAnsi="Inter" w:cs="Inter"/>
        </w:rPr>
        <w:br w:type="page"/>
      </w:r>
    </w:p>
    <w:p>
      <w:pPr>
        <w:pStyle w:val="Heading1"/>
      </w:pPr>
      <w:r>
        <w:rPr>
          <w:rFonts w:ascii="Inter" w:hAnsi="Inter" w:cs="Inter"/>
        </w:rPr>
        <w:t>Baza wiedzy i zakończenie konfiguracji</w:t>
      </w:r>
    </w:p>
    <w:p>
      <w:r>
        <w:rPr>
          <w:rFonts w:ascii="Inter" w:hAnsi="Inter" w:cs="Inter"/>
        </w:rPr>
        <w:t>Brakuje jeszcze bazy wiedzy — zbioru dokumentów (produkty, procedury, regulaminy, FAQ itd.), które agent wykorzysta przy odpowiedziach.</w:t>
      </w:r>
    </w:p>
    <w:p>
      <w:r>
        <w:rPr>
          <w:rFonts w:ascii="Inter" w:hAnsi="Inter" w:cs="Inter"/>
        </w:rPr>
        <w:t>Kliknij „Dodaj dokumenty”, wskaż przygotowane pliki, po wczytaniu wybierz „Zakończ konfigurację”.</w:t>
      </w:r>
    </w:p>
    <w:p>
      <w:r>
        <w:rPr>
          <w:rFonts w:ascii="Inter" w:hAnsi="Inter" w:cs="Inter"/>
        </w:rPr>
        <w:t>Rozpocznie się synchronizacja wiadomości i bazy wiedzy — przy dużej skrzynce może to zająć wiele minut; w środowisku demo zwykle sekundy.</w:t>
      </w:r>
    </w:p>
    <w:p>
      <w:r>
        <w:rPr>
          <w:rFonts w:ascii="Inter" w:hAnsi="Inter" w:cs="Inter"/>
        </w:rPr>
        <w:drawing>
          <wp:inline xmlns:a="http://schemas.openxmlformats.org/drawingml/2006/main" xmlns:pic="http://schemas.openxmlformats.org/drawingml/2006/picture">
            <wp:extent cx="5580000" cy="3138750"/>
            <wp:docPr id="15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tep_15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80000" cy="313875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rPr>
          <w:rFonts w:ascii="Inter" w:hAnsi="Inter" w:cs="Inter"/>
        </w:rPr>
        <w:drawing>
          <wp:inline xmlns:a="http://schemas.openxmlformats.org/drawingml/2006/main" xmlns:pic="http://schemas.openxmlformats.org/drawingml/2006/picture">
            <wp:extent cx="5580000" cy="3138750"/>
            <wp:docPr id="16" name="Picture 1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tep_16.p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80000" cy="313875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rPr>
          <w:rFonts w:ascii="Inter" w:hAnsi="Inter" w:cs="Inter"/>
        </w:rPr>
        <w:drawing>
          <wp:inline xmlns:a="http://schemas.openxmlformats.org/drawingml/2006/main" xmlns:pic="http://schemas.openxmlformats.org/drawingml/2006/picture">
            <wp:extent cx="5580000" cy="3138750"/>
            <wp:docPr id="17" name="Picture 1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tep_17.p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580000" cy="313875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rPr>
          <w:rFonts w:ascii="Inter" w:hAnsi="Inter" w:cs="Inter"/>
        </w:rPr>
        <w:drawing>
          <wp:inline xmlns:a="http://schemas.openxmlformats.org/drawingml/2006/main" xmlns:pic="http://schemas.openxmlformats.org/drawingml/2006/picture">
            <wp:extent cx="5580000" cy="3138750"/>
            <wp:docPr id="18" name="Picture 1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tep_18.pn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580000" cy="313875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rPr>
          <w:rFonts w:ascii="Inter" w:hAnsi="Inter" w:cs="Inter"/>
        </w:rPr>
        <w:br w:type="page"/>
      </w:r>
    </w:p>
    <w:p>
      <w:pPr>
        <w:pStyle w:val="Heading1"/>
      </w:pPr>
      <w:r>
        <w:rPr>
          <w:rFonts w:ascii="Inter" w:hAnsi="Inter" w:cs="Inter"/>
        </w:rPr>
        <w:t>Ustawienia po onboardingu</w:t>
      </w:r>
    </w:p>
    <w:p>
      <w:r>
        <w:rPr>
          <w:rFonts w:ascii="Inter" w:hAnsi="Inter" w:cs="Inter"/>
        </w:rPr>
        <w:t>Zanim przejdziesz do obsługi: w prawym górnym rogu dostępna jest ikona ustawień — tam edytujesz wcześniejsze wybory i możesz w razie potrzeby wznowić cały onboarding.</w:t>
      </w:r>
    </w:p>
    <w:p>
      <w:r>
        <w:rPr>
          <w:rFonts w:ascii="Inter" w:hAnsi="Inter" w:cs="Inter"/>
        </w:rPr>
        <w:drawing>
          <wp:inline xmlns:a="http://schemas.openxmlformats.org/drawingml/2006/main" xmlns:pic="http://schemas.openxmlformats.org/drawingml/2006/picture">
            <wp:extent cx="5580000" cy="2419398"/>
            <wp:docPr id="19" name="Picture 1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tep_30.pn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580000" cy="241939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rPr>
          <w:rFonts w:ascii="Inter" w:hAnsi="Inter" w:cs="Inter"/>
        </w:rPr>
        <w:drawing>
          <wp:inline xmlns:a="http://schemas.openxmlformats.org/drawingml/2006/main" xmlns:pic="http://schemas.openxmlformats.org/drawingml/2006/picture">
            <wp:extent cx="5580000" cy="3138750"/>
            <wp:docPr id="20" name="Picture 2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tep_31.pn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580000" cy="313875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rPr>
          <w:rFonts w:ascii="Inter" w:hAnsi="Inter" w:cs="Inter"/>
        </w:rPr>
        <w:drawing>
          <wp:inline xmlns:a="http://schemas.openxmlformats.org/drawingml/2006/main" xmlns:pic="http://schemas.openxmlformats.org/drawingml/2006/picture">
            <wp:extent cx="5580000" cy="3138750"/>
            <wp:docPr id="21" name="Picture 2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tep_32.pn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580000" cy="313875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rPr>
          <w:rFonts w:ascii="Inter" w:hAnsi="Inter" w:cs="Inter"/>
        </w:rPr>
        <w:br w:type="page"/>
      </w:r>
    </w:p>
    <w:p>
      <w:pPr>
        <w:pStyle w:val="Heading1"/>
      </w:pPr>
      <w:r>
        <w:rPr>
          <w:rFonts w:ascii="Inter" w:hAnsi="Inter" w:cs="Inter"/>
        </w:rPr>
        <w:t>Główny ekran — lista wiadomości</w:t>
      </w:r>
    </w:p>
    <w:p>
      <w:r>
        <w:rPr>
          <w:rFonts w:ascii="Inter" w:hAnsi="Inter" w:cs="Inter"/>
        </w:rPr>
        <w:t>Główny widok to lista wiadomości od klientów. U góry możesz filtrować źródło (np. tylko Gmail lub tylko Allegro).</w:t>
      </w:r>
    </w:p>
    <w:p>
      <w:r>
        <w:rPr>
          <w:rFonts w:ascii="Inter" w:hAnsi="Inter" w:cs="Inter"/>
        </w:rPr>
        <w:t>W prawym górnym rogu widać liczbę wiadomości wymagających odpowiedzi. Wejdź w wiadomość, aby ją obsłużyć.</w:t>
      </w:r>
    </w:p>
    <w:p>
      <w:r>
        <w:rPr>
          <w:rFonts w:ascii="Inter" w:hAnsi="Inter" w:cs="Inter"/>
        </w:rPr>
        <w:drawing>
          <wp:inline xmlns:a="http://schemas.openxmlformats.org/drawingml/2006/main" xmlns:pic="http://schemas.openxmlformats.org/drawingml/2006/picture">
            <wp:extent cx="5580000" cy="3138750"/>
            <wp:docPr id="22" name="Picture 2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tep_19.pn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580000" cy="313875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rPr>
          <w:rFonts w:ascii="Inter" w:hAnsi="Inter" w:cs="Inter"/>
        </w:rPr>
        <w:drawing>
          <wp:inline xmlns:a="http://schemas.openxmlformats.org/drawingml/2006/main" xmlns:pic="http://schemas.openxmlformats.org/drawingml/2006/picture">
            <wp:extent cx="5580000" cy="3138750"/>
            <wp:docPr id="23" name="Picture 2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tep_20.pn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580000" cy="313875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rPr>
          <w:rFonts w:ascii="Inter" w:hAnsi="Inter" w:cs="Inter"/>
        </w:rPr>
        <w:drawing>
          <wp:inline xmlns:a="http://schemas.openxmlformats.org/drawingml/2006/main" xmlns:pic="http://schemas.openxmlformats.org/drawingml/2006/picture">
            <wp:extent cx="5580000" cy="3138750"/>
            <wp:docPr id="24" name="Picture 2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tep_21.pn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580000" cy="313875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rPr>
          <w:rFonts w:ascii="Inter" w:hAnsi="Inter" w:cs="Inter"/>
        </w:rPr>
        <w:br w:type="page"/>
      </w:r>
    </w:p>
    <w:p>
      <w:pPr>
        <w:pStyle w:val="Heading1"/>
      </w:pPr>
      <w:r>
        <w:rPr>
          <w:rFonts w:ascii="Inter" w:hAnsi="Inter" w:cs="Inter"/>
        </w:rPr>
        <w:t>Szczegóły wiadomości i szkic (przykład Allegro)</w:t>
      </w:r>
    </w:p>
    <w:p>
      <w:r>
        <w:rPr>
          <w:rFonts w:ascii="Inter" w:hAnsi="Inter" w:cs="Inter"/>
        </w:rPr>
        <w:t>Po lewej treść od klienta. Aby wygenerować odpowiedź, użyj „Generuj szkic”. Po chwili pojawi się propozycja od asystenta — możesz ją edytować.</w:t>
      </w:r>
    </w:p>
    <w:p>
      <w:r>
        <w:rPr>
          <w:rFonts w:ascii="Inter" w:hAnsi="Inter" w:cs="Inter"/>
        </w:rPr>
        <w:t>Dla Allegro wysyłka odbywa się przez API — przycisk w stylu „Wyślij przez Allegro”. W materiale demo pokazano przykładowe pytanie o kompatybilność etui; dobra odpowiedź korzysta też z aktualnej oferty w bazie wiedzy.</w:t>
      </w:r>
    </w:p>
    <w:p>
      <w:r>
        <w:rPr>
          <w:rFonts w:ascii="Inter" w:hAnsi="Inter" w:cs="Inter"/>
        </w:rPr>
        <w:drawing>
          <wp:inline xmlns:a="http://schemas.openxmlformats.org/drawingml/2006/main" xmlns:pic="http://schemas.openxmlformats.org/drawingml/2006/picture">
            <wp:extent cx="5580000" cy="3138750"/>
            <wp:docPr id="25" name="Picture 2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tep_22.pn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580000" cy="313875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rPr>
          <w:rFonts w:ascii="Inter" w:hAnsi="Inter" w:cs="Inter"/>
        </w:rPr>
        <w:drawing>
          <wp:inline xmlns:a="http://schemas.openxmlformats.org/drawingml/2006/main" xmlns:pic="http://schemas.openxmlformats.org/drawingml/2006/picture">
            <wp:extent cx="5580000" cy="3138750"/>
            <wp:docPr id="26" name="Picture 2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tep_23.pn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580000" cy="313875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rPr>
          <w:rFonts w:ascii="Inter" w:hAnsi="Inter" w:cs="Inter"/>
        </w:rPr>
        <w:drawing>
          <wp:inline xmlns:a="http://schemas.openxmlformats.org/drawingml/2006/main" xmlns:pic="http://schemas.openxmlformats.org/drawingml/2006/picture">
            <wp:extent cx="5580000" cy="3138750"/>
            <wp:docPr id="27" name="Picture 2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tep_24.pn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580000" cy="313875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rPr>
          <w:rFonts w:ascii="Inter" w:hAnsi="Inter" w:cs="Inter"/>
        </w:rPr>
        <w:drawing>
          <wp:inline xmlns:a="http://schemas.openxmlformats.org/drawingml/2006/main" xmlns:pic="http://schemas.openxmlformats.org/drawingml/2006/picture">
            <wp:extent cx="5580000" cy="3138750"/>
            <wp:docPr id="28" name="Picture 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tep_25.pn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580000" cy="313875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rPr>
          <w:rFonts w:ascii="Inter" w:hAnsi="Inter" w:cs="Inter"/>
        </w:rPr>
        <w:drawing>
          <wp:inline xmlns:a="http://schemas.openxmlformats.org/drawingml/2006/main" xmlns:pic="http://schemas.openxmlformats.org/drawingml/2006/picture">
            <wp:extent cx="5580000" cy="3138750"/>
            <wp:docPr id="29" name="Picture 2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tep_26.pn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580000" cy="313875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rPr>
          <w:rFonts w:ascii="Inter" w:hAnsi="Inter" w:cs="Inter"/>
        </w:rPr>
        <w:br w:type="page"/>
      </w:r>
    </w:p>
    <w:p>
      <w:pPr>
        <w:pStyle w:val="Heading1"/>
      </w:pPr>
      <w:r>
        <w:rPr>
          <w:rFonts w:ascii="Inter" w:hAnsi="Inter" w:cs="Inter"/>
        </w:rPr>
        <w:t>Wiadomość z Gmail — szkic i zapis</w:t>
      </w:r>
    </w:p>
    <w:p>
      <w:r>
        <w:rPr>
          <w:rFonts w:ascii="Inter" w:hAnsi="Inter" w:cs="Inter"/>
        </w:rPr>
        <w:t>Dla wiadomości z Gmail możesz ponownie wygenerować szkic, edytować treść i zapisać szkic do skrzynki Gmail (np. „Zapisz do Gmail”), a następnie sprawdzić go w Gmailu.</w:t>
      </w:r>
    </w:p>
    <w:p>
      <w:r>
        <w:rPr>
          <w:rFonts w:ascii="Inter" w:hAnsi="Inter" w:cs="Inter"/>
        </w:rPr>
        <w:drawing>
          <wp:inline xmlns:a="http://schemas.openxmlformats.org/drawingml/2006/main" xmlns:pic="http://schemas.openxmlformats.org/drawingml/2006/picture">
            <wp:extent cx="5580000" cy="3138750"/>
            <wp:docPr id="30" name="Picture 3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tep_27.png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580000" cy="313875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rPr>
          <w:rFonts w:ascii="Inter" w:hAnsi="Inter" w:cs="Inter"/>
        </w:rPr>
        <w:drawing>
          <wp:inline xmlns:a="http://schemas.openxmlformats.org/drawingml/2006/main" xmlns:pic="http://schemas.openxmlformats.org/drawingml/2006/picture">
            <wp:extent cx="5580000" cy="3138750"/>
            <wp:docPr id="31" name="Picture 3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tep_28.png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580000" cy="313875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rPr>
          <w:rFonts w:ascii="Inter" w:hAnsi="Inter" w:cs="Inter"/>
        </w:rPr>
        <w:drawing>
          <wp:inline xmlns:a="http://schemas.openxmlformats.org/drawingml/2006/main" xmlns:pic="http://schemas.openxmlformats.org/drawingml/2006/picture">
            <wp:extent cx="5580000" cy="3138750"/>
            <wp:docPr id="32" name="Picture 3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tep_29.png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580000" cy="313875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rPr>
          <w:rFonts w:ascii="Inter" w:hAnsi="Inter" w:cs="Inter"/>
        </w:rPr>
        <w:br w:type="page"/>
      </w:r>
    </w:p>
    <w:p>
      <w:pPr>
        <w:pStyle w:val="Heading1"/>
      </w:pPr>
      <w:r>
        <w:rPr>
          <w:rFonts w:ascii="Inter" w:hAnsi="Inter" w:cs="Inter"/>
        </w:rPr>
        <w:t>Podsumowanie</w:t>
      </w:r>
    </w:p>
    <w:p>
      <w:r>
        <w:rPr>
          <w:rFonts w:ascii="Inter" w:hAnsi="Inter" w:cs="Inter"/>
        </w:rPr>
        <w:t>Po instalacji przechodzisz przez onboarding (konta, model AI, baza wiedzy), następnie obsługujesz wiadomości — szkic AI, edycja, wysyłka lub zapis.</w:t>
      </w:r>
    </w:p>
    <w:p>
      <w:r>
        <w:rPr>
          <w:rFonts w:ascii="Inter" w:hAnsi="Inter" w:cs="Inter"/>
        </w:rPr>
        <w:t>Wypróbuj ten sam przepływ na własnych klientach i rzeczywistych wiadomościach.</w:t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20" Type="http://schemas.openxmlformats.org/officeDocument/2006/relationships/image" Target="media/image12.png"/><Relationship Id="rId21" Type="http://schemas.openxmlformats.org/officeDocument/2006/relationships/image" Target="media/image13.png"/><Relationship Id="rId22" Type="http://schemas.openxmlformats.org/officeDocument/2006/relationships/image" Target="media/image14.png"/><Relationship Id="rId23" Type="http://schemas.openxmlformats.org/officeDocument/2006/relationships/image" Target="media/image15.png"/><Relationship Id="rId24" Type="http://schemas.openxmlformats.org/officeDocument/2006/relationships/image" Target="media/image16.png"/><Relationship Id="rId25" Type="http://schemas.openxmlformats.org/officeDocument/2006/relationships/image" Target="media/image17.png"/><Relationship Id="rId26" Type="http://schemas.openxmlformats.org/officeDocument/2006/relationships/image" Target="media/image18.png"/><Relationship Id="rId27" Type="http://schemas.openxmlformats.org/officeDocument/2006/relationships/image" Target="media/image19.png"/><Relationship Id="rId28" Type="http://schemas.openxmlformats.org/officeDocument/2006/relationships/image" Target="media/image20.png"/><Relationship Id="rId29" Type="http://schemas.openxmlformats.org/officeDocument/2006/relationships/image" Target="media/image21.png"/><Relationship Id="rId30" Type="http://schemas.openxmlformats.org/officeDocument/2006/relationships/image" Target="media/image22.png"/><Relationship Id="rId31" Type="http://schemas.openxmlformats.org/officeDocument/2006/relationships/image" Target="media/image23.png"/><Relationship Id="rId32" Type="http://schemas.openxmlformats.org/officeDocument/2006/relationships/image" Target="media/image24.png"/><Relationship Id="rId33" Type="http://schemas.openxmlformats.org/officeDocument/2006/relationships/image" Target="media/image25.png"/><Relationship Id="rId34" Type="http://schemas.openxmlformats.org/officeDocument/2006/relationships/image" Target="media/image26.png"/><Relationship Id="rId35" Type="http://schemas.openxmlformats.org/officeDocument/2006/relationships/image" Target="media/image27.png"/><Relationship Id="rId36" Type="http://schemas.openxmlformats.org/officeDocument/2006/relationships/image" Target="media/image28.png"/><Relationship Id="rId37" Type="http://schemas.openxmlformats.org/officeDocument/2006/relationships/image" Target="media/image29.png"/><Relationship Id="rId38" Type="http://schemas.openxmlformats.org/officeDocument/2006/relationships/image" Target="media/image30.png"/><Relationship Id="rId39" Type="http://schemas.openxmlformats.org/officeDocument/2006/relationships/image" Target="media/image31.png"/><Relationship Id="rId40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